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ascii="Courier New" w:eastAsia="Times New Roman" w:hAnsi="Courier New" w:cs="Courier New"/>
          <w:noProof/>
          <w:kern w:val="0"/>
          <w:lang w:eastAsia="ru-RU" w:bidi="ar-SA"/>
        </w:rPr>
        <w:drawing>
          <wp:inline distT="0" distB="0" distL="0" distR="0" wp14:anchorId="7B9F6C3B" wp14:editId="6D6C051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КОРЕНОВСКОГО РАЙОНА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23.12.2024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      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1693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г. Кореновск </w:t>
      </w:r>
    </w:p>
    <w:p w:rsidR="00736C04" w:rsidRDefault="00736C04">
      <w:pPr>
        <w:jc w:val="right"/>
        <w:rPr>
          <w:b/>
          <w:sz w:val="28"/>
          <w:szCs w:val="28"/>
        </w:rPr>
      </w:pPr>
    </w:p>
    <w:p w:rsidR="00736C04" w:rsidRDefault="00736C04" w:rsidP="00241C63">
      <w:pPr>
        <w:rPr>
          <w:b/>
          <w:bCs/>
          <w:sz w:val="28"/>
          <w:szCs w:val="28"/>
        </w:rPr>
      </w:pPr>
    </w:p>
    <w:p w:rsidR="00736C04" w:rsidRDefault="007C65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E30DF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Кореновского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Кореновского района от 1 ноября 2023 года № 1381 «Об утверждении муниципальной </w:t>
      </w:r>
      <w:bookmarkStart w:id="0" w:name="_GoBack"/>
      <w:bookmarkEnd w:id="0"/>
      <w:r>
        <w:rPr>
          <w:b/>
          <w:bCs/>
          <w:sz w:val="28"/>
          <w:szCs w:val="28"/>
        </w:rPr>
        <w:t>программы Кореновского городского поселения Кореновского района «</w:t>
      </w:r>
      <w:r>
        <w:rPr>
          <w:rFonts w:cs="Times New Roman"/>
          <w:b/>
          <w:bCs/>
          <w:sz w:val="28"/>
          <w:szCs w:val="28"/>
        </w:rPr>
        <w:t xml:space="preserve">Обеспечение жильем молодых семей на 2024 - 2026 годы» </w:t>
      </w:r>
    </w:p>
    <w:p w:rsidR="00736C04" w:rsidRDefault="00736C04">
      <w:pPr>
        <w:jc w:val="center"/>
      </w:pPr>
    </w:p>
    <w:p w:rsidR="00736C04" w:rsidRDefault="00736C04">
      <w:pPr>
        <w:jc w:val="center"/>
      </w:pPr>
    </w:p>
    <w:p w:rsidR="00736C04" w:rsidRDefault="007C65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В соответствии с приказом министерства топливно-энергетического комплекса и жилищно-коммунального хозяйства Краснодарского края от                21 ноября 2024 года № 895 «О внесении изменений в приказ министерства топливно-энергетического комплекса и жилищно-коммунального хозяйства Краснодарского края от 26 сентября 2024 года № 759 «Об утверждении объемов субсидий из бюджета Краснодарского края, планируемых для распределения местным бюджетам муниципальных образований Краснодарского края на        2025 год и на плановый период 2026 и 2027 годов, на софинансирование расходных обязательств муниципальных образований на предоставление социальных выплат молодым семьям на приобретение (строительство) жилья», администрация Кореновского городского поселения Кореновского района               п о с т а н о в л я е т: </w:t>
      </w:r>
    </w:p>
    <w:p w:rsidR="00736C04" w:rsidRDefault="007C65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Внести в постановление администрации Кореновского городского поселения Кореновского района от 1 ноября 2023 года № 1381 «Об утверждении муниципальной программы Кореновского городского поселения Кореновского района «Обеспечение жильем молодых семей на 2024 - 2026 годы»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изменение:</w:t>
      </w:r>
    </w:p>
    <w:p w:rsidR="00736C04" w:rsidRDefault="007C65D5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1.1.   Приложение к постановлению изложить в новой редакции (прилагается).</w:t>
      </w:r>
    </w:p>
    <w:p w:rsidR="00736C04" w:rsidRDefault="007C65D5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постановление администрации Кореновского городского поселения Кореновского района от 04 октября 2024 года №1356 «О внесении изменений в постановление администрации Кореновского городского поселения Кореновского района от 1 ноября 2023 года № 1381 «Об утверждении муниципальной программы Кореновского городского поселения Кореновского района «Обеспечение жильем молодых семей на 2024 - 2026 годы».</w:t>
      </w: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Общему отделу администрации</w:t>
      </w:r>
      <w:r>
        <w:rPr>
          <w:spacing w:val="-1"/>
          <w:sz w:val="28"/>
          <w:szCs w:val="28"/>
        </w:rPr>
        <w:t xml:space="preserve"> Кореновского городского                       </w:t>
      </w:r>
      <w:r>
        <w:rPr>
          <w:spacing w:val="-1"/>
          <w:sz w:val="28"/>
          <w:szCs w:val="28"/>
        </w:rPr>
        <w:lastRenderedPageBreak/>
        <w:t>поселения Кореновского района (Козыренко)</w:t>
      </w:r>
      <w:r>
        <w:rPr>
          <w:spacing w:val="-2"/>
          <w:sz w:val="28"/>
          <w:szCs w:val="28"/>
        </w:rPr>
        <w:t xml:space="preserve"> официально обнародовать настоящее постановление и обеспечить его размещение </w:t>
      </w:r>
      <w:r>
        <w:rPr>
          <w:sz w:val="28"/>
          <w:szCs w:val="28"/>
        </w:rPr>
        <w:t>на официальном сайте              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736C04" w:rsidRDefault="007C65D5"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rFonts w:eastAsia="DejaVu Sans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736C04" w:rsidRDefault="00736C04">
      <w:pPr>
        <w:ind w:firstLine="709"/>
        <w:jc w:val="both"/>
        <w:textAlignment w:val="baseline"/>
      </w:pPr>
    </w:p>
    <w:p w:rsidR="00736C04" w:rsidRDefault="00736C04">
      <w:pPr>
        <w:spacing w:line="100" w:lineRule="atLeast"/>
        <w:jc w:val="both"/>
        <w:rPr>
          <w:sz w:val="28"/>
          <w:szCs w:val="28"/>
        </w:rPr>
      </w:pPr>
    </w:p>
    <w:p w:rsidR="00736C04" w:rsidRDefault="007C65D5">
      <w:pPr>
        <w:spacing w:line="100" w:lineRule="atLeast"/>
        <w:jc w:val="both"/>
      </w:pPr>
      <w:r>
        <w:rPr>
          <w:sz w:val="28"/>
          <w:szCs w:val="28"/>
        </w:rPr>
        <w:t>Глава</w:t>
      </w:r>
    </w:p>
    <w:p w:rsidR="00736C04" w:rsidRDefault="007C65D5">
      <w:pPr>
        <w:spacing w:line="100" w:lineRule="atLeast"/>
        <w:jc w:val="both"/>
      </w:pPr>
      <w:r>
        <w:rPr>
          <w:sz w:val="28"/>
          <w:szCs w:val="28"/>
        </w:rPr>
        <w:t>Кореновского городского поселения</w:t>
      </w:r>
    </w:p>
    <w:p w:rsidR="00736C04" w:rsidRDefault="007C65D5">
      <w:pPr>
        <w:widowControl/>
        <w:tabs>
          <w:tab w:val="left" w:pos="540"/>
          <w:tab w:val="left" w:pos="4800"/>
        </w:tabs>
        <w:spacing w:line="100" w:lineRule="atLeast"/>
        <w:jc w:val="both"/>
      </w:pP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Кореновского района</w:t>
      </w: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  <w:t xml:space="preserve">           </w:t>
      </w: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М.О. Шутылев</w:t>
      </w: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tbl>
      <w:tblPr>
        <w:tblStyle w:val="ac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2025"/>
        <w:gridCol w:w="4394"/>
      </w:tblGrid>
      <w:tr w:rsidR="00736C0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 </w:t>
            </w:r>
            <w:r w:rsidR="00241C63">
              <w:rPr>
                <w:rFonts w:eastAsia="Times New Roman" w:cs="Times New Roman"/>
                <w:sz w:val="28"/>
                <w:szCs w:val="28"/>
              </w:rPr>
              <w:t xml:space="preserve">23.12.2024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241C63">
              <w:rPr>
                <w:rFonts w:eastAsia="Times New Roman" w:cs="Times New Roman"/>
                <w:sz w:val="28"/>
                <w:szCs w:val="28"/>
              </w:rPr>
              <w:t>1693</w:t>
            </w:r>
          </w:p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«ПРИЛОЖЕНИЕ</w:t>
            </w:r>
          </w:p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01.11.2023 года № 1381</w:t>
            </w:r>
          </w:p>
        </w:tc>
      </w:tr>
    </w:tbl>
    <w:p w:rsidR="00736C04" w:rsidRDefault="00736C04">
      <w:pPr>
        <w:jc w:val="center"/>
        <w:rPr>
          <w:rFonts w:eastAsia="Times New Roman" w:cs="Times New Roman"/>
          <w:sz w:val="28"/>
          <w:szCs w:val="28"/>
        </w:rPr>
      </w:pPr>
    </w:p>
    <w:p w:rsidR="00736C04" w:rsidRDefault="00736C04">
      <w:pPr>
        <w:rPr>
          <w:rFonts w:cs="Times New Roman"/>
          <w:color w:val="000000"/>
          <w:lang w:bidi="ar-SA"/>
        </w:rPr>
      </w:pPr>
    </w:p>
    <w:p w:rsidR="00736C04" w:rsidRDefault="007C65D5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МУНИЦИПАЛЬНАЯ ПРОГРАММА</w:t>
      </w:r>
    </w:p>
    <w:p w:rsidR="00736C04" w:rsidRDefault="007C65D5">
      <w:pPr>
        <w:jc w:val="center"/>
        <w:rPr>
          <w:rFonts w:eastAsia="SimSun" w:cs="Mangal"/>
          <w:sz w:val="28"/>
          <w:szCs w:val="28"/>
          <w:lang w:eastAsia="hi-IN"/>
        </w:rPr>
      </w:pPr>
      <w:r>
        <w:rPr>
          <w:rFonts w:eastAsia="SimSun" w:cs="Mangal"/>
          <w:sz w:val="28"/>
          <w:szCs w:val="28"/>
          <w:lang w:eastAsia="hi-IN"/>
        </w:rPr>
        <w:t xml:space="preserve">Кореновского городского поселения Кореновского района </w:t>
      </w:r>
    </w:p>
    <w:p w:rsidR="00736C04" w:rsidRDefault="007C65D5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жильем молодых семей на 2024 - 2026 годы»</w:t>
      </w:r>
    </w:p>
    <w:p w:rsidR="00736C04" w:rsidRDefault="00736C04">
      <w:pPr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</w:rPr>
      </w:pPr>
    </w:p>
    <w:p w:rsidR="00736C04" w:rsidRDefault="007C65D5">
      <w:pPr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</w:rPr>
      </w:pPr>
      <w:r>
        <w:rPr>
          <w:rFonts w:cs="Times New Roman"/>
          <w:color w:val="000000"/>
          <w:sz w:val="28"/>
          <w:lang w:bidi="ar-SA"/>
        </w:rPr>
        <w:t>ПАСПОРТ МУНИЦИПАЛЬНОЙ ПРОГРАММЫ</w:t>
      </w:r>
    </w:p>
    <w:p w:rsidR="00736C04" w:rsidRDefault="007C65D5">
      <w:pPr>
        <w:numPr>
          <w:ilvl w:val="0"/>
          <w:numId w:val="1"/>
        </w:numPr>
        <w:ind w:left="0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Кореновского городского поселения Кореновского района</w:t>
      </w:r>
    </w:p>
    <w:p w:rsidR="00736C04" w:rsidRDefault="007C65D5">
      <w:pPr>
        <w:numPr>
          <w:ilvl w:val="0"/>
          <w:numId w:val="1"/>
        </w:numPr>
        <w:ind w:left="0" w:firstLine="0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«Обеспечение жильем молодых семей на 2024 — 2026 годы»</w:t>
      </w:r>
    </w:p>
    <w:p w:rsidR="00736C04" w:rsidRDefault="00736C04">
      <w:pPr>
        <w:jc w:val="center"/>
        <w:rPr>
          <w:rFonts w:eastAsia="Times New Roman" w:cs="Times New Roman"/>
        </w:rPr>
      </w:pPr>
    </w:p>
    <w:tbl>
      <w:tblPr>
        <w:tblW w:w="924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406"/>
        <w:gridCol w:w="6841"/>
      </w:tblGrid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Координатор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color w:val="000000"/>
                <w:lang w:bidi="ar-SA"/>
              </w:rPr>
              <w:t>Отдел имущественных и земельных отношений администрации Кореновского городского поселения Кореновского района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rFonts w:cs="Times New Roman"/>
                <w:color w:val="000000"/>
                <w:lang w:bidi="ar-SA"/>
              </w:rPr>
              <w:t>Не предусмотрен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Участники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Кореновское городское поселение Кореновского района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Подпрограммы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napToGrid w:val="0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Не предусмотрены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Цели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Обеспечение молодых семей жильем путем предоставления социальных выплат на </w:t>
            </w:r>
            <w:r>
              <w:rPr>
                <w:color w:val="000000"/>
              </w:rPr>
              <w:t>приобретение жилого помещения или создание объекта индивидуального жилищного строительства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Задачи муниципальной программы</w:t>
            </w:r>
          </w:p>
          <w:p w:rsidR="00736C04" w:rsidRDefault="00736C04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- создание условий для привлечения молодыми семьями собственных средств, дополнительных финансовых средств </w:t>
            </w:r>
            <w:r>
              <w:rPr>
                <w:rFonts w:cs="Times New Roman"/>
              </w:rPr>
              <w:lastRenderedPageBreak/>
              <w:t>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>
        <w:trPr>
          <w:trHeight w:val="111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- количество </w:t>
            </w:r>
            <w:r>
              <w:rPr>
                <w:rFonts w:eastAsia="Times New Roman" w:cs="Times New Roman"/>
                <w:color w:val="000000"/>
                <w:lang w:eastAsia="ar-SA"/>
              </w:rPr>
              <w:t>молодых семей улучшивших жилищные условия</w:t>
            </w:r>
          </w:p>
        </w:tc>
      </w:tr>
      <w:tr w:rsidR="00736C04">
        <w:trPr>
          <w:trHeight w:val="126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color w:val="000000"/>
                <w:lang w:bidi="ar-SA"/>
              </w:rPr>
              <w:t>2024 - 2026 годы, этапы реализации не выделяются</w:t>
            </w:r>
          </w:p>
        </w:tc>
      </w:tr>
      <w:tr w:rsidR="00736C04">
        <w:trPr>
          <w:trHeight w:val="35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Объемы бюджетных ассигнований муниципальной программы</w:t>
            </w:r>
          </w:p>
          <w:p w:rsidR="00736C04" w:rsidRDefault="00736C04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Общий объем финансирования составит 19016,3 тыс. руб.: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2024 год – 3368,2 тыс. руб.,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360,1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1728,3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–1279,8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2025 год – 7991,6 тыс. руб.,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819,4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4135,4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 3036,8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2026 год – 7656,5 тыс. руб.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842,4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3904,6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 2909,5 тыс. руб.</w:t>
            </w:r>
          </w:p>
        </w:tc>
      </w:tr>
      <w:tr w:rsidR="00736C04">
        <w:trPr>
          <w:trHeight w:val="9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napToGrid w:val="0"/>
              <w:jc w:val="both"/>
            </w:pPr>
            <w:r>
              <w:rPr>
                <w:rFonts w:cs="Times New Roman"/>
              </w:rPr>
              <w:t>Заместитель главы Кореновского городского поселения Кореновского района</w:t>
            </w:r>
          </w:p>
        </w:tc>
      </w:tr>
    </w:tbl>
    <w:p w:rsidR="00736C04" w:rsidRDefault="00736C04">
      <w:pPr>
        <w:jc w:val="both"/>
        <w:rPr>
          <w:rFonts w:eastAsia="Times New Roman" w:cs="Times New Roman"/>
          <w:sz w:val="28"/>
          <w:szCs w:val="28"/>
        </w:rPr>
      </w:pPr>
    </w:p>
    <w:p w:rsidR="00736C04" w:rsidRDefault="007C65D5">
      <w:pPr>
        <w:jc w:val="center"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NewRomanPSMT" w:eastAsia="Times New Roman" w:hAnsi="TimesNewRomanPSMT" w:cs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 w:rsidR="00736C04" w:rsidRDefault="007C65D5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736C04" w:rsidRDefault="00736C04">
      <w:pPr>
        <w:jc w:val="center"/>
        <w:rPr>
          <w:rFonts w:ascii="TimesNewRomanPSMT" w:hAnsi="TimesNewRomanPSMT" w:cs="TimesNewRomanPSMT"/>
          <w:sz w:val="28"/>
        </w:rPr>
      </w:pP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потребности в комфортном жилье – одна из насущных проблем в Кореновском городском поселении Кореновского района. </w:t>
      </w: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 </w:t>
      </w:r>
    </w:p>
    <w:p w:rsidR="00736C04" w:rsidRDefault="007C65D5">
      <w:pPr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В текущих условиях, когда кредитные организации установили минимальный размер первоначального взноса не менее 30 процентов стоимости </w:t>
      </w:r>
    </w:p>
    <w:p w:rsidR="00736C04" w:rsidRDefault="007C65D5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жилья, основными факторами, сдерживающими использование заемных средств для приобретения или строительства жилья, являются отсутствие у значительного числа граждан средств для уплаты первоначального взноса по жилищному или ипотечному жилищному кредиту, а также высокая процентная </w:t>
      </w:r>
      <w:r>
        <w:rPr>
          <w:rFonts w:cs="Times New Roman"/>
          <w:sz w:val="28"/>
          <w:szCs w:val="28"/>
        </w:rPr>
        <w:lastRenderedPageBreak/>
        <w:t>ставка за использование кредитных средств, в 2-2,5 раза превышающая средний уровень процентной ставки в развитых странах.</w:t>
      </w:r>
    </w:p>
    <w:p w:rsidR="00736C04" w:rsidRDefault="007C65D5">
      <w:pPr>
        <w:jc w:val="both"/>
      </w:pPr>
      <w:r>
        <w:rPr>
          <w:rFonts w:cs="Times New Roman"/>
          <w:sz w:val="28"/>
          <w:szCs w:val="28"/>
        </w:rPr>
        <w:tab/>
        <w:t xml:space="preserve">Как правило, молодые семьи не могут получить доступ на рынок жилья без государственной поддержки. Даже имея достаточный уровень дохода для получения ипотечного жилищного кредита, молодые семьи не могут </w:t>
      </w:r>
      <w:proofErr w:type="gramStart"/>
      <w:r>
        <w:rPr>
          <w:rFonts w:cs="Times New Roman"/>
          <w:sz w:val="28"/>
          <w:szCs w:val="28"/>
        </w:rPr>
        <w:t>уплатить  первоначальный</w:t>
      </w:r>
      <w:proofErr w:type="gramEnd"/>
      <w:r>
        <w:rPr>
          <w:rFonts w:cs="Times New Roman"/>
          <w:sz w:val="28"/>
          <w:szCs w:val="28"/>
        </w:rPr>
        <w:t xml:space="preserve"> взнос при получении кредита. Молодые семьи в основном являются приобретателями первого в своей жизни жилья, а значит, не имеют </w:t>
      </w:r>
      <w:proofErr w:type="gramStart"/>
      <w:r>
        <w:rPr>
          <w:rFonts w:cs="Times New Roman"/>
          <w:sz w:val="28"/>
          <w:szCs w:val="28"/>
        </w:rPr>
        <w:t>в  собственности</w:t>
      </w:r>
      <w:proofErr w:type="gramEnd"/>
      <w:r>
        <w:rPr>
          <w:rFonts w:cs="Times New Roman"/>
          <w:sz w:val="28"/>
          <w:szCs w:val="28"/>
        </w:rPr>
        <w:t xml:space="preserve"> жилого помещения, которое можно было бы использовать в  качестве обеспечения уплаты первоначального взноса при получении  ипотечного жилищного кредита или займа. К тому же чаще всего молодые семьи еще не имеют возможности накопить на эти цели необходимые средства. </w:t>
      </w:r>
      <w:r>
        <w:rPr>
          <w:rFonts w:cs="Times New Roman"/>
          <w:sz w:val="28"/>
          <w:szCs w:val="28"/>
        </w:rPr>
        <w:tab/>
        <w:t>Однако, такая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736C04" w:rsidRDefault="007C65D5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 xml:space="preserve">В рамках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</w:rPr>
        <w:t>появится  возможность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улучшить жилищные условия молодых семей, в том числе с использованием ипотечных жилищных кредитов и займов, при оказании поддержки за счет средств федерального бюджета, бюджетов субъектов Российской Федерации и местных бюджетов. 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Софинансирование расходных обязательств по предоставлению социальных выплат молодым семьям на приобретение (строительство) жилья в 2022 году составило 2370,9 тыс. руб.,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- 989,0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- 386,1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местный бюджет - 995,8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Реализация Программы произведена в полном объеме. Выделенные на реализацию денежные средства освоены на 100%. Указанные средства были предоставлены двум молодым семьям.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В 2023 году объем софинансирования расходных обязательств по предоставлению социальных выплат молодым семьям на приобретение (строительство) жилья составил 1542,2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– 495,6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– 398,9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местный бюджет – 648,7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Указанные средства были освоены в полном объеме и позволили одной молодой семье улучшить свои жилищные </w:t>
      </w:r>
      <w:proofErr w:type="gramStart"/>
      <w:r>
        <w:rPr>
          <w:rFonts w:eastAsia="Times New Roman" w:cs="Times New Roman"/>
          <w:bCs/>
          <w:sz w:val="28"/>
          <w:szCs w:val="28"/>
        </w:rPr>
        <w:t>условия  в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рамках реализации Программы.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Объем софинансирования расходных обязательств по предоставлению социальных выплат молодым семьям на приобретение (строительство) жилья в 2024 году составляет 3368,2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– 360,1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– 1728,3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lastRenderedPageBreak/>
        <w:t xml:space="preserve">местный бюджет – 1279,8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Реализация Программы произведена в полном объеме. Выделенные на реализацию денежные средства освоены на 100%. Указанные средства были предоставлены двум молодым семьям.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 2025 год плановый объем </w:t>
      </w:r>
      <w:proofErr w:type="spellStart"/>
      <w:r>
        <w:rPr>
          <w:rFonts w:eastAsia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составляет                       7991,6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федеральный бюджет – 819,4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краевой бюджет –4135,4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местный бюджет – 3036,8 тыс. руб.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трех молодых семей в рамках реализации Программы. 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 2026 год плановый объем софинансирования составляет             </w:t>
      </w:r>
      <w:r>
        <w:rPr>
          <w:rFonts w:eastAsia="Times New Roman" w:cs="Times New Roman"/>
          <w:bCs/>
          <w:sz w:val="28"/>
          <w:szCs w:val="28"/>
          <w:shd w:val="clear" w:color="auto" w:fill="DDDDDD"/>
        </w:rPr>
        <w:t xml:space="preserve">          </w:t>
      </w:r>
      <w:r>
        <w:rPr>
          <w:rFonts w:eastAsia="Times New Roman" w:cs="Times New Roman"/>
          <w:bCs/>
          <w:sz w:val="28"/>
          <w:szCs w:val="28"/>
        </w:rPr>
        <w:t>7656,5 тыс. руб.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федеральный бюджет – 842,8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краевой бюджет – 3904,6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местный бюджет – 2909,5 тыс. руб.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двух молодых семей в рамках реализации Программы. </w:t>
      </w:r>
    </w:p>
    <w:p w:rsidR="00736C04" w:rsidRDefault="00736C04">
      <w:pPr>
        <w:jc w:val="both"/>
        <w:rPr>
          <w:rFonts w:eastAsia="Times New Roman" w:cs="Times New Roman"/>
          <w:bCs/>
          <w:sz w:val="28"/>
          <w:szCs w:val="28"/>
        </w:rPr>
      </w:pPr>
    </w:p>
    <w:p w:rsidR="00736C04" w:rsidRDefault="007C65D5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736C04" w:rsidRDefault="007C65D5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736C04" w:rsidRDefault="00736C04">
      <w:pPr>
        <w:jc w:val="center"/>
        <w:rPr>
          <w:rFonts w:cs="Times New Roman"/>
          <w:bCs/>
          <w:sz w:val="28"/>
          <w:szCs w:val="28"/>
        </w:rPr>
      </w:pPr>
    </w:p>
    <w:p w:rsidR="00736C04" w:rsidRDefault="007C65D5">
      <w:pPr>
        <w:tabs>
          <w:tab w:val="left" w:pos="709"/>
        </w:tabs>
        <w:jc w:val="both"/>
      </w:pPr>
      <w:r>
        <w:rPr>
          <w:rFonts w:cs="Times New Roman"/>
          <w:bCs/>
          <w:sz w:val="28"/>
          <w:szCs w:val="28"/>
        </w:rPr>
        <w:t xml:space="preserve">Цели, задачи и целевые показатели муниципальной программы Кореновского городского поселения Кореновского района </w:t>
      </w:r>
      <w:r>
        <w:rPr>
          <w:rFonts w:eastAsia="Times New Roman" w:cs="Times New Roman"/>
          <w:bCs/>
          <w:color w:val="000000"/>
          <w:sz w:val="28"/>
          <w:szCs w:val="28"/>
        </w:rPr>
        <w:t>«</w:t>
      </w:r>
      <w:r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>
        <w:rPr>
          <w:rFonts w:eastAsia="Times New Roman" w:cs="Times New Roman"/>
          <w:bCs/>
          <w:color w:val="000000"/>
          <w:sz w:val="28"/>
          <w:szCs w:val="28"/>
        </w:rPr>
        <w:t>»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sz w:val="28"/>
          <w:szCs w:val="28"/>
        </w:rPr>
        <w:t>представлены ниже в таблице.</w:t>
      </w:r>
    </w:p>
    <w:p w:rsidR="00736C04" w:rsidRDefault="007C65D5">
      <w:pPr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Основными ожидаемыми результатами реализации мероприятий программы являются:</w:t>
      </w:r>
      <w:r>
        <w:t xml:space="preserve"> </w:t>
      </w:r>
    </w:p>
    <w:p w:rsidR="00736C04" w:rsidRDefault="007C65D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736C04" w:rsidRDefault="007C65D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развитие системы ипотечного жилищного кредитования;</w:t>
      </w:r>
    </w:p>
    <w:p w:rsidR="00736C04" w:rsidRDefault="007C65D5">
      <w:pPr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уменьшение количества граждан, состоящих на учёте в качестве нуждающихся в жилых помещениях;</w:t>
      </w:r>
    </w:p>
    <w:p w:rsidR="00736C04" w:rsidRDefault="007C65D5">
      <w:pPr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увеличение количества молодых семей, улучшивших свои жилищные условия.</w:t>
      </w:r>
    </w:p>
    <w:p w:rsidR="00736C04" w:rsidRDefault="007C65D5">
      <w:pPr>
        <w:widowControl/>
        <w:tabs>
          <w:tab w:val="left" w:pos="709"/>
        </w:tabs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Общий срок реализации </w:t>
      </w:r>
      <w:r>
        <w:rPr>
          <w:rFonts w:cs="Times New Roman"/>
          <w:bCs/>
          <w:sz w:val="28"/>
          <w:szCs w:val="28"/>
        </w:rPr>
        <w:t xml:space="preserve">муниципальной программы Кореновского городского поселения Кореновского района </w:t>
      </w:r>
      <w:r>
        <w:rPr>
          <w:rFonts w:eastAsia="Times New Roman" w:cs="Times New Roman"/>
          <w:bCs/>
          <w:color w:val="000000"/>
          <w:sz w:val="28"/>
          <w:szCs w:val="28"/>
        </w:rPr>
        <w:t>«</w:t>
      </w:r>
      <w:r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>
        <w:rPr>
          <w:rFonts w:eastAsia="Times New Roman" w:cs="Times New Roman"/>
          <w:bCs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>рассчитан на период с 2024 по 2026 год. Этапы реализации подпрограммы не выделяются.</w:t>
      </w:r>
    </w:p>
    <w:p w:rsidR="00736C04" w:rsidRDefault="007C65D5">
      <w:pPr>
        <w:widowControl/>
        <w:tabs>
          <w:tab w:val="left" w:pos="709"/>
        </w:tabs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736C04" w:rsidRDefault="00736C04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736C04" w:rsidRDefault="007C65D5">
      <w:pPr>
        <w:jc w:val="center"/>
      </w:pPr>
      <w:r>
        <w:rPr>
          <w:rFonts w:cs="Times New Roman"/>
          <w:sz w:val="28"/>
          <w:szCs w:val="28"/>
        </w:rPr>
        <w:t>Целевые показатели муниципальной программы</w:t>
      </w:r>
      <w:r>
        <w:t xml:space="preserve"> </w:t>
      </w:r>
    </w:p>
    <w:p w:rsidR="00736C04" w:rsidRDefault="007C65D5">
      <w:pPr>
        <w:jc w:val="center"/>
      </w:pPr>
      <w:r>
        <w:rPr>
          <w:sz w:val="28"/>
          <w:szCs w:val="28"/>
          <w:lang w:eastAsia="ar-SA"/>
        </w:rPr>
        <w:t>Кореновского городского поселения Кореновского района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</w:t>
      </w:r>
    </w:p>
    <w:p w:rsidR="00736C04" w:rsidRDefault="007C65D5">
      <w:pPr>
        <w:jc w:val="center"/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lastRenderedPageBreak/>
        <w:t>«Обеспечение жильем молодых семей на 2024 — 2026 годы»</w:t>
      </w:r>
    </w:p>
    <w:p w:rsidR="00736C04" w:rsidRDefault="00736C04">
      <w:pPr>
        <w:jc w:val="center"/>
        <w:rPr>
          <w:sz w:val="28"/>
          <w:szCs w:val="28"/>
          <w:lang w:eastAsia="ar-SA"/>
        </w:rPr>
      </w:pPr>
    </w:p>
    <w:tbl>
      <w:tblPr>
        <w:tblW w:w="9690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4"/>
        <w:gridCol w:w="3198"/>
        <w:gridCol w:w="797"/>
        <w:gridCol w:w="1007"/>
        <w:gridCol w:w="1147"/>
        <w:gridCol w:w="1311"/>
        <w:gridCol w:w="1886"/>
      </w:tblGrid>
      <w:tr w:rsidR="00736C04" w:rsidTr="007C65D5">
        <w:trPr>
          <w:trHeight w:val="258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736C04" w:rsidTr="007C65D5">
        <w:trPr>
          <w:trHeight w:val="531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2026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год</w:t>
            </w:r>
          </w:p>
        </w:tc>
      </w:tr>
      <w:tr w:rsidR="00736C04" w:rsidTr="007C65D5">
        <w:trPr>
          <w:trHeight w:val="25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</w:tr>
      <w:tr w:rsidR="00736C04" w:rsidTr="007C65D5">
        <w:trPr>
          <w:trHeight w:val="5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</w:t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ar-SA"/>
              </w:rPr>
              <w:t>Обеспечение жильем молодых семей на территории сельских поселений муниципального образования Кореновский район на 2024 — 2026 годы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ru-RU"/>
              </w:rPr>
              <w:t>»</w:t>
            </w:r>
          </w:p>
        </w:tc>
      </w:tr>
      <w:tr w:rsidR="00736C04" w:rsidTr="007C65D5">
        <w:trPr>
          <w:trHeight w:val="2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snapToGrid w:val="0"/>
              <w:jc w:val="center"/>
            </w:pPr>
            <w:r>
              <w:t>1.1</w:t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eastAsia="Times New Roman" w:cs="Times New Roman"/>
                <w:color w:val="000000"/>
                <w:lang w:eastAsia="ar-SA"/>
              </w:rPr>
              <w:t>Обеспечение молодых семей жильем путем предоставления социальных выплат на приобретение жилого помещения или создание</w:t>
            </w:r>
            <w:r>
              <w:rPr>
                <w:rFonts w:cs="Times New Roman"/>
              </w:rPr>
              <w:t xml:space="preserve"> объекта индивидуального жилищного строительства</w:t>
            </w:r>
          </w:p>
        </w:tc>
      </w:tr>
      <w:tr w:rsidR="00736C04" w:rsidTr="007C65D5">
        <w:trPr>
          <w:trHeight w:val="183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Задачи:</w:t>
            </w:r>
          </w:p>
          <w:p w:rsidR="00736C04" w:rsidRDefault="007C65D5"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r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736C04" w:rsidRDefault="007C65D5"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 w:rsidTr="007C65D5">
        <w:trPr>
          <w:trHeight w:val="117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r>
              <w:rPr>
                <w:rFonts w:cs="Times New Roman"/>
              </w:rPr>
              <w:t>Целевые показатели:</w:t>
            </w:r>
          </w:p>
          <w:p w:rsidR="00736C04" w:rsidRDefault="007C65D5">
            <w:r>
              <w:rPr>
                <w:rFonts w:cs="Times New Roman"/>
              </w:rPr>
              <w:t xml:space="preserve">- количество </w:t>
            </w:r>
            <w:r>
              <w:rPr>
                <w:rFonts w:eastAsia="Times New Roman" w:cs="Times New Roman"/>
                <w:color w:val="000000"/>
                <w:lang w:eastAsia="ar-SA"/>
              </w:rPr>
              <w:t>молодых семей улучшивших жилищные условия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семей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</w:tr>
    </w:tbl>
    <w:p w:rsidR="00736C04" w:rsidRDefault="007C65D5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«2» постановление Правительства Российской Федерации от 17 декабря 2010 года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widowControl/>
        <w:rPr>
          <w:rFonts w:cs="Times New Roman"/>
          <w:bCs/>
        </w:rPr>
      </w:pPr>
    </w:p>
    <w:p w:rsidR="00736C04" w:rsidRDefault="007C65D5">
      <w:pPr>
        <w:widowControl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Перечень основных мероприятий муниципальной программы «Обеспечение жильем молодых семей на территории сельских поселений муниципального образования Кореновский район на 2024 — 2026 годы»</w:t>
      </w:r>
    </w:p>
    <w:p w:rsidR="00736C04" w:rsidRDefault="00736C04">
      <w:pPr>
        <w:widowControl/>
        <w:jc w:val="center"/>
        <w:rPr>
          <w:rFonts w:cs="Times New Roman"/>
          <w:bCs/>
          <w:sz w:val="28"/>
          <w:szCs w:val="28"/>
        </w:rPr>
      </w:pPr>
    </w:p>
    <w:tbl>
      <w:tblPr>
        <w:tblW w:w="9555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8"/>
        <w:gridCol w:w="939"/>
        <w:gridCol w:w="1182"/>
        <w:gridCol w:w="993"/>
        <w:gridCol w:w="885"/>
        <w:gridCol w:w="678"/>
        <w:gridCol w:w="735"/>
        <w:gridCol w:w="682"/>
        <w:gridCol w:w="990"/>
        <w:gridCol w:w="993"/>
        <w:gridCol w:w="1050"/>
      </w:tblGrid>
      <w:tr w:rsidR="00736C04">
        <w:trPr>
          <w:trHeight w:val="96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736C04" w:rsidRDefault="007C65D5">
            <w:pPr>
              <w:suppressLineNumbers/>
              <w:jc w:val="center"/>
            </w:pPr>
            <w:r>
              <w:t>п/п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Наименование мероприятия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ind w:right="283"/>
              <w:jc w:val="center"/>
            </w:pPr>
            <w:r>
              <w:t>Статус</w:t>
            </w:r>
          </w:p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736C04">
              <w:trPr>
                <w:trHeight w:val="268"/>
              </w:trPr>
              <w:tc>
                <w:tcPr>
                  <w:tcW w:w="9309" w:type="dxa"/>
                  <w:shd w:val="clear" w:color="auto" w:fill="auto"/>
                </w:tcPr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cs="Times New Roman"/>
                    </w:rPr>
                    <w:t xml:space="preserve">Цель: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Обесп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ечение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моло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дых семей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жильем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путем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предоставле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ния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социаль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ных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выплат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на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приобрет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ение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(строи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тельство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)</w:t>
                  </w:r>
                </w:p>
                <w:p w:rsidR="00736C04" w:rsidRDefault="007C65D5">
                  <w:pPr>
                    <w:ind w:right="283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жилья</w:t>
                  </w:r>
                </w:p>
              </w:tc>
            </w:tr>
          </w:tbl>
          <w:p w:rsidR="00736C04" w:rsidRDefault="00736C04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Источники финансирования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Объем финансирования, всего</w:t>
            </w:r>
          </w:p>
          <w:p w:rsidR="00736C04" w:rsidRDefault="007C65D5">
            <w:pPr>
              <w:suppressLineNumbers/>
              <w:jc w:val="center"/>
            </w:pPr>
            <w:r>
              <w:t>(тыс. руб.)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В том числе по годам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Срок реализации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Муниципальный заказчик мероприятия, ответственный за выполнение мероприятий и получатель субсидий</w:t>
            </w:r>
          </w:p>
        </w:tc>
      </w:tr>
      <w:tr w:rsidR="00736C04">
        <w:trPr>
          <w:trHeight w:val="69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2024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2025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2026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Цель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>- количество молодых семей улучшивших жилищные условия</w:t>
            </w:r>
          </w:p>
        </w:tc>
      </w:tr>
      <w:tr w:rsidR="00736C04">
        <w:trPr>
          <w:trHeight w:val="219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both"/>
            </w:pPr>
            <w:r>
              <w:rPr>
                <w:rFonts w:cs="Times New Roman"/>
              </w:rPr>
              <w:t>Задача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lang w:eastAsia="ru-RU" w:bidi="ar-SA"/>
              </w:rPr>
            </w:pPr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>
        <w:trPr>
          <w:trHeight w:val="30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1.1.1.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Andale Sans UI" w:cs="Times New Roman"/>
                <w:color w:val="00000A"/>
                <w:spacing w:val="-2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19016,3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3368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7991,6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7656,5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2024 год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2025 год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2026 год,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>улучшение жилищных условий молодых семей проживающих на территории сельских поселений Кореновского района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both"/>
            </w:pPr>
            <w:r>
              <w:t xml:space="preserve">Отдел имущественных и земельных отношений </w:t>
            </w:r>
            <w:proofErr w:type="spellStart"/>
            <w:r>
              <w:t>Кореновкого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Кореновского</w:t>
            </w:r>
            <w:proofErr w:type="spellEnd"/>
            <w:r>
              <w:t xml:space="preserve"> района</w:t>
            </w:r>
          </w:p>
        </w:tc>
      </w:tr>
      <w:tr w:rsidR="00736C04">
        <w:trPr>
          <w:trHeight w:val="72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Краевой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9768,3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1728,3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4135,4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3904,6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2021,9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360,1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819,4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842,4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8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Местные бюджеты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7226,1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1279,8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3036,8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2909,5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8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5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Итого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19016,3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3368,2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7991,6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7656,5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Краевой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9768,3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1728,3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4135,4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3904,6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2021,9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360,1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819,4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842,4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Местные бюджеты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7226,1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1279,8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3036,8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2909,5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8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</w:tbl>
    <w:p w:rsidR="00736C04" w:rsidRDefault="00736C04">
      <w:pPr>
        <w:jc w:val="both"/>
        <w:rPr>
          <w:sz w:val="12"/>
          <w:szCs w:val="12"/>
        </w:rPr>
      </w:pPr>
    </w:p>
    <w:p w:rsidR="00736C04" w:rsidRDefault="007C65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«2» постановление Правительства Российской Федерации от 17 декабря 2010 года № 1050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jc w:val="both"/>
        <w:rPr>
          <w:sz w:val="12"/>
          <w:szCs w:val="12"/>
        </w:rPr>
      </w:pPr>
    </w:p>
    <w:p w:rsidR="00736C04" w:rsidRDefault="007C65D5">
      <w:pPr>
        <w:widowControl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финансового обеспечения муниципальной программы</w:t>
      </w:r>
    </w:p>
    <w:p w:rsidR="00736C04" w:rsidRDefault="00736C04">
      <w:pPr>
        <w:widowControl/>
        <w:jc w:val="center"/>
        <w:rPr>
          <w:rFonts w:cs="Times New Roman"/>
          <w:bCs/>
          <w:color w:val="000000"/>
          <w:sz w:val="28"/>
          <w:szCs w:val="28"/>
        </w:rPr>
      </w:pPr>
    </w:p>
    <w:p w:rsidR="00736C04" w:rsidRDefault="007C65D5">
      <w:pPr>
        <w:widowControl/>
        <w:ind w:firstLine="68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Мероприятия предусматривают консолидацию средств федерального, краевого и местного бюджетов.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Средства бюджета Кореновского городского поселения Кореновского района, расходуются на предоставление социальной выплаты молодым семьям в соответствии с Правилами, утвержденными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C65D5">
      <w:pPr>
        <w:widowControl/>
        <w:jc w:val="both"/>
        <w:rPr>
          <w:rFonts w:ascii="Arial" w:eastAsia="Arial" w:hAnsi="Arial" w:cs="Arial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ab/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2024-2026 годы составит </w:t>
      </w:r>
      <w:r>
        <w:rPr>
          <w:rFonts w:eastAsia="Times New Roman" w:cs="Times New Roman"/>
          <w:color w:val="000000" w:themeColor="text1"/>
          <w:sz w:val="28"/>
          <w:szCs w:val="28"/>
          <w:lang w:bidi="ar-SA"/>
        </w:rPr>
        <w:t>19016,3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тыс. рублей.</w:t>
      </w:r>
    </w:p>
    <w:p w:rsidR="00736C04" w:rsidRDefault="00736C04">
      <w:pPr>
        <w:widowControl/>
        <w:jc w:val="center"/>
        <w:rPr>
          <w:rFonts w:ascii="Arial" w:eastAsia="Arial" w:hAnsi="Arial" w:cs="Arial"/>
          <w:sz w:val="28"/>
          <w:szCs w:val="28"/>
          <w:lang w:bidi="ar-SA"/>
        </w:rPr>
      </w:pPr>
    </w:p>
    <w:p w:rsidR="00736C04" w:rsidRDefault="007C65D5">
      <w:pPr>
        <w:widowControl/>
        <w:jc w:val="center"/>
        <w:rPr>
          <w:rFonts w:ascii="Arial" w:eastAsia="Arial" w:hAnsi="Arial" w:cs="Arial"/>
          <w:sz w:val="28"/>
          <w:szCs w:val="28"/>
          <w:lang w:bidi="ar-SA"/>
        </w:rPr>
      </w:pPr>
      <w:r>
        <w:rPr>
          <w:rFonts w:eastAsia="Arial" w:cs="Times New Roman"/>
          <w:color w:val="000000"/>
          <w:sz w:val="28"/>
          <w:szCs w:val="28"/>
          <w:lang w:bidi="ar-SA"/>
        </w:rPr>
        <w:t>Структура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bidi="ar-SA"/>
        </w:rPr>
        <w:t>финансирования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bidi="ar-SA"/>
        </w:rPr>
        <w:t>Программы</w:t>
      </w:r>
    </w:p>
    <w:p w:rsidR="00736C04" w:rsidRDefault="00736C04">
      <w:pPr>
        <w:widowControl/>
        <w:jc w:val="center"/>
        <w:rPr>
          <w:sz w:val="12"/>
          <w:szCs w:val="1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868"/>
        <w:gridCol w:w="1564"/>
        <w:gridCol w:w="1559"/>
        <w:gridCol w:w="1849"/>
      </w:tblGrid>
      <w:tr w:rsidR="00736C04">
        <w:trPr>
          <w:trHeight w:val="450"/>
        </w:trPr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Источники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и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направления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расходов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Объем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финансирования</w:t>
            </w:r>
          </w:p>
        </w:tc>
      </w:tr>
      <w:tr w:rsidR="00736C04">
        <w:trPr>
          <w:trHeight w:val="449"/>
        </w:trPr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Всего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В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том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числе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по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годам</w:t>
            </w:r>
          </w:p>
        </w:tc>
      </w:tr>
      <w:tr w:rsidR="00736C04">
        <w:trPr>
          <w:trHeight w:val="361"/>
        </w:trPr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2024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2025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2026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</w:tr>
      <w:tr w:rsidR="00736C04">
        <w:trPr>
          <w:trHeight w:val="36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Местный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highlight w:val="yellow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1279,8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3036,8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2909,5</w:t>
            </w:r>
          </w:p>
        </w:tc>
      </w:tr>
      <w:tr w:rsidR="00736C04">
        <w:trPr>
          <w:trHeight w:val="54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Краевой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  <w:p w:rsidR="00736C04" w:rsidRDefault="007C65D5">
            <w:pPr>
              <w:widowControl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(на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условиях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софинансирования)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1728,3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4135,4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3904,6</w:t>
            </w:r>
          </w:p>
        </w:tc>
      </w:tr>
      <w:tr w:rsidR="00736C04">
        <w:trPr>
          <w:trHeight w:val="48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lang w:bidi="ar-SA"/>
              </w:rPr>
              <w:t xml:space="preserve">Федеральный бюджет </w:t>
            </w:r>
            <w:r>
              <w:rPr>
                <w:rFonts w:eastAsia="Arial" w:cs="Times New Roman"/>
                <w:color w:val="000000"/>
                <w:lang w:bidi="ar-SA"/>
              </w:rPr>
              <w:t>(на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условиях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софинансирования)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360,1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819,4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842,4</w:t>
            </w:r>
          </w:p>
        </w:tc>
      </w:tr>
      <w:tr w:rsidR="00736C04">
        <w:trPr>
          <w:trHeight w:val="25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Другие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источники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</w:tr>
      <w:tr w:rsidR="00736C04">
        <w:trPr>
          <w:trHeight w:val="32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ВСЕГО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3368,2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7991,6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7656,5</w:t>
            </w:r>
          </w:p>
        </w:tc>
      </w:tr>
    </w:tbl>
    <w:p w:rsidR="00736C04" w:rsidRDefault="00736C04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Объем софинансирования из краевого и федерального бюджетов выделяется 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jc w:val="both"/>
        <w:rPr>
          <w:rFonts w:eastAsia="Times New Roman" w:cs="Times New Roman"/>
          <w:sz w:val="28"/>
          <w:szCs w:val="28"/>
        </w:rPr>
      </w:pPr>
    </w:p>
    <w:p w:rsidR="00736C04" w:rsidRDefault="007C65D5">
      <w:pPr>
        <w:widowControl/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736C04" w:rsidRDefault="00736C04">
      <w:pPr>
        <w:widowControl/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  <w:sz w:val="28"/>
          <w:szCs w:val="28"/>
        </w:rPr>
      </w:pPr>
    </w:p>
    <w:p w:rsidR="00736C04" w:rsidRDefault="007C65D5">
      <w:pPr>
        <w:widowControl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производится ежегодно в соответствии с постановлением администрации </w:t>
      </w:r>
      <w:r>
        <w:rPr>
          <w:sz w:val="28"/>
          <w:szCs w:val="28"/>
        </w:rPr>
        <w:t xml:space="preserve">Кореновского городского поселения Кореновского района от 27 октября                       2014 года № 1081 </w:t>
      </w:r>
      <w:r>
        <w:rPr>
          <w:sz w:val="28"/>
          <w:szCs w:val="28"/>
          <w:shd w:val="clear" w:color="auto" w:fill="FFFFFF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736C04" w:rsidRDefault="00736C04">
      <w:pPr>
        <w:widowControl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736C04" w:rsidRDefault="007C65D5">
      <w:pPr>
        <w:widowControl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736C04" w:rsidRDefault="00736C04">
      <w:pPr>
        <w:widowControl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Механизм реализации Мероприятия муниципальной программы предполагает оказание финансовой поддержки, предусмотренной на эти цели в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местном бюджете, с участием федерального и краевого бюджетов молодым семьям – участникам Мероприятия муниципальной целевой программы, нуждающимся в улучшении жилищных условий, путем предоставления им социальных выплат.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Социальная выплата  на приобретение жилого помещения или создание объекта индивидуального жилищного строительства предоставляется и используется в соответствии с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и их использования, утвержденными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Молодая семья – участник Мероприятия муниципальной программы должна подтвердить наличие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Признание молодой семьи имеющей достаточные доходы производится на основании оценки объема денежных средств на банковский счетах, в том числе во вкладах, принадлежащих членам (члену) молодой семьи, либо оценки доходов молодой семьи, позволяющих получить жилищный кредит, в том числе ипотечный, или жилищный заем на приобретение            жилого помещения или строительство жилого дома, а также на основании оценки стоимости объекта незавершенного строительства дома, принадлежащего на праве собственности членам (члену) молодой семьи или наличия у молодой семьи права на использование средств материнского капитала, в том числе регионального.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которое выдается администрацией Кореновского поселения Кореновского района.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Полученное свидетельство в течении 1 месяца со дня его выдачи сдается его владельцем в банк, где на имя члена молодой семьи открывается банковский счет, предназначенный для зачисления социальной выплаты.                               Молодая семья – владелец свидетельства, заключает договор банковского счета с банком по месту приобретения жилого помещения.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Предоставление финансовой поддержки молодым семьям в рамках Мероприятия муниципальной программы осуществляется в порядке очередности. 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Первоочередное право на получение социальной выплаты имеют: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молодые семьи, поставленные на учет в качестве нуждающихся в улучшении жилищных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условий  молодые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семьи, имеющие 3-х и более детей.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Механизм реализации программы предполагает приобретение жилого</w:t>
      </w:r>
    </w:p>
    <w:p w:rsidR="00736C04" w:rsidRDefault="00736C04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помещения или создание объекта индивидуального жилищного строительства.</w:t>
      </w:r>
    </w:p>
    <w:p w:rsidR="00736C04" w:rsidRDefault="007C65D5">
      <w:pPr>
        <w:jc w:val="both"/>
      </w:pPr>
      <w:r>
        <w:rPr>
          <w:color w:val="000000"/>
          <w:sz w:val="28"/>
          <w:szCs w:val="28"/>
        </w:rPr>
        <w:tab/>
      </w:r>
      <w:r>
        <w:rPr>
          <w:rFonts w:eastAsia="Arial"/>
          <w:sz w:val="28"/>
          <w:szCs w:val="28"/>
          <w:lang w:eastAsia="en-US"/>
        </w:rPr>
        <w:t>Текущее управление муниципальной программой и контрольные функции в ходе реализации программы, а также контроль за выполнением программы осуществляет исполнитель муниципальной программы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- о</w:t>
      </w: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тдел</w:t>
      </w:r>
      <w:r>
        <w:rPr>
          <w:color w:val="000000"/>
          <w:sz w:val="28"/>
          <w:szCs w:val="28"/>
          <w:lang w:bidi="ar-SA"/>
        </w:rPr>
        <w:t xml:space="preserve"> имущественных и земельных отношений администрации Кореновского городского поселения Кореновского района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, который: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736C04" w:rsidRDefault="007C65D5">
      <w:pPr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736C04" w:rsidRDefault="007C65D5">
      <w:pPr>
        <w:widowControl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Отдел </w:t>
      </w:r>
      <w:r>
        <w:rPr>
          <w:color w:val="000000"/>
          <w:sz w:val="28"/>
          <w:szCs w:val="28"/>
          <w:lang w:bidi="ar-SA"/>
        </w:rPr>
        <w:t>имущественных и земельных отношений администрации Кореновского городского поселения Кореновского района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носителях».</w:t>
      </w:r>
    </w:p>
    <w:p w:rsidR="00736C04" w:rsidRDefault="00736C04">
      <w:pPr>
        <w:widowControl/>
        <w:jc w:val="both"/>
        <w:rPr>
          <w:rFonts w:cs="Times New Roman"/>
          <w:sz w:val="28"/>
          <w:szCs w:val="28"/>
        </w:rPr>
      </w:pPr>
    </w:p>
    <w:p w:rsidR="00736C04" w:rsidRDefault="00736C04">
      <w:pPr>
        <w:widowControl/>
        <w:jc w:val="both"/>
        <w:rPr>
          <w:rFonts w:cs="Times New Roman"/>
          <w:sz w:val="28"/>
          <w:szCs w:val="28"/>
        </w:rPr>
      </w:pP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Начальник отдела имущественных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земельных отношений администрации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городского поселения 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района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                             Я.С. Синицына</w:t>
      </w:r>
    </w:p>
    <w:sectPr w:rsidR="00736C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NewRomanPSMT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6C"/>
    <w:multiLevelType w:val="multilevel"/>
    <w:tmpl w:val="63A06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D4604"/>
    <w:multiLevelType w:val="multilevel"/>
    <w:tmpl w:val="7B0037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04"/>
    <w:rsid w:val="00241C63"/>
    <w:rsid w:val="003F0E2D"/>
    <w:rsid w:val="00736C04"/>
    <w:rsid w:val="007C65D5"/>
    <w:rsid w:val="00E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B322"/>
  <w15:docId w15:val="{9D2B46DD-768F-4D49-9289-43C1301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28"/>
    <w:pPr>
      <w:widowControl w:val="0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777F28"/>
    <w:rPr>
      <w:b/>
      <w:bCs/>
      <w:color w:val="000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C33D4"/>
    <w:rPr>
      <w:rFonts w:ascii="Segoe UI" w:eastAsia="WenQuanYi Micro Hei" w:hAnsi="Segoe UI" w:cs="Mangal"/>
      <w:kern w:val="2"/>
      <w:sz w:val="18"/>
      <w:szCs w:val="16"/>
      <w:lang w:eastAsia="zh-CN" w:bidi="hi-I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5C33D4"/>
    <w:rPr>
      <w:rFonts w:ascii="Segoe UI" w:hAnsi="Segoe UI" w:cs="Mangal"/>
      <w:sz w:val="18"/>
      <w:szCs w:val="16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A2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4514-29E1-4E76-8CE5-25B74521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61</cp:revision>
  <cp:lastPrinted>2024-12-23T07:41:00Z</cp:lastPrinted>
  <dcterms:created xsi:type="dcterms:W3CDTF">2024-01-15T12:18:00Z</dcterms:created>
  <dcterms:modified xsi:type="dcterms:W3CDTF">2025-02-25T05:51:00Z</dcterms:modified>
  <dc:language>ru-RU</dc:language>
</cp:coreProperties>
</file>