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06" w:rsidRDefault="00C65306" w:rsidP="00C653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предельного объема муниципального долга </w:t>
      </w:r>
    </w:p>
    <w:p w:rsidR="00C65306" w:rsidRDefault="00C65306" w:rsidP="00C6530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306" w:rsidRDefault="00C65306" w:rsidP="00C6530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), где:</w:t>
      </w:r>
    </w:p>
    <w:p w:rsidR="00C65306" w:rsidRDefault="00C65306" w:rsidP="00C65306">
      <w:pPr>
        <w:pStyle w:val="ConsPlusNormal"/>
        <w:widowControl/>
        <w:ind w:firstLine="0"/>
        <w:jc w:val="center"/>
      </w:pP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ДП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C65306" w:rsidRDefault="00C65306" w:rsidP="00C653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C65306" w:rsidRDefault="00C65306" w:rsidP="00C65306">
      <w:pPr>
        <w:spacing w:line="240" w:lineRule="auto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(14931,8 – 5566,4 – 0)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C65306" w:rsidRDefault="00C65306" w:rsidP="00C6530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 где:</w:t>
      </w:r>
    </w:p>
    <w:p w:rsidR="00C65306" w:rsidRDefault="00C65306" w:rsidP="00C65306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ОМД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</w:t>
      </w: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.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6865,4= 2500-9365,4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) фактического объема муниципального долга на 1 января года, следующего за </w:t>
      </w:r>
      <w:proofErr w:type="gramStart"/>
      <w:r>
        <w:rPr>
          <w:rFonts w:ascii="Times New Roman" w:hAnsi="Times New Roman"/>
          <w:sz w:val="28"/>
        </w:rPr>
        <w:t>отчетным</w:t>
      </w:r>
      <w:proofErr w:type="gramEnd"/>
      <w:r>
        <w:rPr>
          <w:rFonts w:ascii="Times New Roman" w:hAnsi="Times New Roman"/>
          <w:sz w:val="28"/>
        </w:rPr>
        <w:t>, от утвержденного верхнего предела муниципального долга на эту же дату определяется по формуле: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 где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. Превышение имеет место при положительных значениях  </w:t>
      </w:r>
      <w:proofErr w:type="spellStart"/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65306" w:rsidRDefault="00C65306" w:rsidP="00C6530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-2500= 2500-5000</w:t>
      </w:r>
    </w:p>
    <w:p w:rsidR="00C65306" w:rsidRDefault="00C65306" w:rsidP="00C65306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</w:t>
      </w:r>
      <w:proofErr w:type="spellStart"/>
      <w:r>
        <w:t>В</w:t>
      </w:r>
      <w:proofErr w:type="gramStart"/>
      <w:r>
        <w:rPr>
          <w:szCs w:val="28"/>
          <w:vertAlign w:val="subscript"/>
        </w:rPr>
        <w:t>i</w:t>
      </w:r>
      <w:proofErr w:type="gramEnd"/>
      <w:r>
        <w:rPr>
          <w:szCs w:val="28"/>
        </w:rPr>
        <w:t>=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ОМД</w:t>
      </w:r>
      <w:r>
        <w:rPr>
          <w:szCs w:val="28"/>
          <w:vertAlign w:val="subscript"/>
        </w:rPr>
        <w:t>i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ВП</w:t>
      </w:r>
      <w:r>
        <w:rPr>
          <w:szCs w:val="28"/>
          <w:vertAlign w:val="subscript"/>
        </w:rPr>
        <w:t>i</w:t>
      </w:r>
      <w:proofErr w:type="spellEnd"/>
    </w:p>
    <w:p w:rsidR="002D3C9A" w:rsidRDefault="00C65306">
      <w:r>
        <w:rPr>
          <w:szCs w:val="28"/>
        </w:rPr>
        <w:t>Ст.107 БК</w:t>
      </w:r>
    </w:p>
    <w:sectPr w:rsidR="002D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65306"/>
    <w:rsid w:val="002D3C9A"/>
    <w:rsid w:val="00C6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6530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ООО Иволга-Юг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2017-12-04T06:02:00Z</dcterms:created>
  <dcterms:modified xsi:type="dcterms:W3CDTF">2017-12-04T06:02:00Z</dcterms:modified>
</cp:coreProperties>
</file>